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eastAsia="方正黑体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附件5</w:t>
      </w:r>
    </w:p>
    <w:p>
      <w:pPr>
        <w:snapToGrid w:val="0"/>
        <w:spacing w:line="560" w:lineRule="exact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通信企业所属营业厅复产复工指南</w:t>
      </w:r>
    </w:p>
    <w:bookmarkEnd w:id="0"/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bCs/>
          <w:snapToGrid w:val="0"/>
          <w:color w:val="333333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一、做好物资储备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各营业厅要储备口罩、消毒液（酒精）、测温仪等疫情防控物资，原则上备足一周的用量。</w:t>
      </w:r>
    </w:p>
    <w:p>
      <w:pPr>
        <w:snapToGrid w:val="0"/>
        <w:spacing w:line="560" w:lineRule="exact"/>
        <w:ind w:firstLine="480" w:firstLineChars="150"/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二、做好防护措施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营业厅工作人员、外来人员进入营业厅办理业务必须正确佩戴口罩；外来人员进入营业厅必须对手进行消毒，</w:t>
      </w:r>
      <w:r>
        <w:rPr>
          <w:rFonts w:hint="eastAsia" w:ascii="方正仿宋_GBK" w:hAnsi="Times New Roman" w:eastAsia="方正仿宋_GBK"/>
          <w:snapToGrid w:val="0"/>
          <w:sz w:val="32"/>
          <w:szCs w:val="32"/>
        </w:rPr>
        <w:t>柜台和办事群众之间可设置物理隔离带，保持营业厅大门敞开，确保空气流通</w:t>
      </w: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。</w:t>
      </w:r>
    </w:p>
    <w:p>
      <w:pPr>
        <w:snapToGrid w:val="0"/>
        <w:spacing w:line="560" w:lineRule="exact"/>
        <w:ind w:firstLine="480" w:firstLineChars="150"/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snapToGrid w:val="0"/>
          <w:color w:val="333333"/>
          <w:sz w:val="32"/>
          <w:szCs w:val="32"/>
        </w:rPr>
        <w:t>三、</w:t>
      </w: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做好监测登记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</w:pP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营业厅工作人员、进入营业厅办理业务人员必须执行体温监测制度，做好信息登记。对体温检测异常的人员立即劝离就医，及时上报所在乡镇（街道）。</w:t>
      </w:r>
    </w:p>
    <w:p>
      <w:pPr>
        <w:snapToGrid w:val="0"/>
        <w:spacing w:line="560" w:lineRule="exact"/>
        <w:ind w:firstLine="480" w:firstLineChars="150"/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四、做好环境卫生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hAnsi="华文仿宋" w:eastAsia="方正仿宋_GBK" w:cs="Arial"/>
          <w:snapToGrid w:val="0"/>
          <w:color w:val="333333"/>
          <w:sz w:val="32"/>
          <w:szCs w:val="32"/>
        </w:rPr>
        <w:t>切实做好营业厅环境卫生工作，每日早晚对营业厅进行全面消毒，特别是群众频繁接触的电子签名板、小键盘等物品，每次消毒后，认真做好信息登记。</w:t>
      </w:r>
    </w:p>
    <w:p>
      <w:pPr>
        <w:snapToGrid w:val="0"/>
        <w:spacing w:line="560" w:lineRule="exact"/>
        <w:ind w:firstLine="480" w:firstLineChars="150"/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</w:pPr>
      <w:r>
        <w:rPr>
          <w:rFonts w:hint="eastAsia" w:ascii="方正黑体_GBK" w:hAnsi="华文仿宋" w:eastAsia="方正黑体_GBK" w:cs="Arial"/>
          <w:snapToGrid w:val="0"/>
          <w:color w:val="333333"/>
          <w:sz w:val="32"/>
          <w:szCs w:val="32"/>
        </w:rPr>
        <w:t>五、</w:t>
      </w:r>
      <w:r>
        <w:rPr>
          <w:rFonts w:hint="eastAsia" w:ascii="方正黑体_GBK" w:hAnsi="华文仿宋" w:eastAsia="方正黑体_GBK" w:cs="Arial"/>
          <w:bCs/>
          <w:snapToGrid w:val="0"/>
          <w:color w:val="333333"/>
          <w:sz w:val="32"/>
          <w:szCs w:val="32"/>
        </w:rPr>
        <w:t>做好人员导流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Times New Roman" w:eastAsia="方正仿宋_GBK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/>
          <w:snapToGrid w:val="0"/>
          <w:sz w:val="32"/>
          <w:szCs w:val="32"/>
        </w:rPr>
        <w:t>安排专人做好营业厅办事群众的人流引导工作，排队间隔1.5米以上，严格控制营业厅人流量，进入大厅的人员，原则上采取一对一服务，同时主动引导群众通过各类网上营业厅自助办理业务。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（各通信企业授权营业厅参照执行）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22E30"/>
    <w:rsid w:val="52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