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eastAsia="方正黑体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附件3</w:t>
      </w:r>
    </w:p>
    <w:p>
      <w:pPr>
        <w:snapToGrid w:val="0"/>
        <w:spacing w:line="560" w:lineRule="exact"/>
        <w:rPr>
          <w:rFonts w:hint="eastAsia" w:ascii="方正黑体_GBK" w:eastAsia="方正黑体_GBK"/>
          <w:snapToGrid w:val="0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方正小标宋_GBK" w:eastAsia="方正小标宋_GBK"/>
          <w:snapToGrid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napToGrid w:val="0"/>
          <w:sz w:val="44"/>
          <w:szCs w:val="44"/>
        </w:rPr>
        <w:t>农资经营门店复产复工指南</w:t>
      </w:r>
    </w:p>
    <w:bookmarkEnd w:id="0"/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一、防疫物资充足。</w:t>
      </w:r>
      <w:r>
        <w:rPr>
          <w:rFonts w:hint="eastAsia" w:ascii="方正仿宋_GBK" w:eastAsia="方正仿宋_GBK"/>
          <w:snapToGrid w:val="0"/>
          <w:sz w:val="32"/>
          <w:szCs w:val="32"/>
        </w:rPr>
        <w:t>配备充足的口罩、体温测量器、消毒液等基础防护物资。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二、经营人员安全。</w:t>
      </w:r>
      <w:r>
        <w:rPr>
          <w:rFonts w:hint="eastAsia" w:ascii="方正仿宋_GBK" w:eastAsia="方正仿宋_GBK"/>
          <w:snapToGrid w:val="0"/>
          <w:sz w:val="32"/>
          <w:szCs w:val="32"/>
        </w:rPr>
        <w:t>对农资销售人员进行复工排查，建立返岗前14天活动轨迹台账，有重点地区暴露史、接触史的人员不得返岗。建立销售人员晨检制度。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三、经营场所安全。</w:t>
      </w:r>
      <w:r>
        <w:rPr>
          <w:rFonts w:hint="eastAsia" w:ascii="方正仿宋_GBK" w:eastAsia="方正仿宋_GBK"/>
          <w:snapToGrid w:val="0"/>
          <w:sz w:val="32"/>
          <w:szCs w:val="32"/>
        </w:rPr>
        <w:t>经营场所保持空气流通，每日保持清洁，早晚各消毒一次；配备消毒设施，设立废弃口罩回收专用垃圾桶。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四、经营活动安全</w:t>
      </w:r>
      <w:r>
        <w:rPr>
          <w:rFonts w:hint="eastAsia" w:ascii="方正仿宋_GBK" w:eastAsia="方正仿宋_GBK"/>
          <w:snapToGrid w:val="0"/>
          <w:sz w:val="32"/>
          <w:szCs w:val="32"/>
        </w:rPr>
        <w:t>。对农资购买者采取物理隔离，按需选购。销售人员按要求佩戴口罩，采用快速手消毒剂和流动水洗手，加强手部清洁和消毒。农资购买者按要求佩戴口罩，未戴口罩者一律不得销售。保障门店人员分散，严格执行1.5米安全间隔距离标准排队购买。对农资购买者进行体温测量。体温异常者必须立即向属地乡镇（街道）报告，并协助做好隔离、送医等相关工作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五、保障农资安全。</w:t>
      </w:r>
      <w:r>
        <w:rPr>
          <w:rFonts w:hint="eastAsia" w:ascii="方正仿宋_GBK" w:eastAsia="方正仿宋_GBK"/>
          <w:snapToGrid w:val="0"/>
          <w:sz w:val="32"/>
          <w:szCs w:val="32"/>
        </w:rPr>
        <w:t>从合法渠道购进农资，做到索证索票，履行进货查验，发现质量可疑农资必须及时登记并上报县农业农村委。购进的农资应按标签和说明书标示条件储存，品种分开陈列，禁止以次充好，禁止夸大宣传或虚假宣传。如实介绍种子、肥料、农药和农膜等农资的特性，方便消费者依需选购。落实明码标价。农资经营场所陈列的所有商品必须分类陈列，明码标价，严禁囤货居奇、哄抬物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6764"/>
    <w:rsid w:val="309F6764"/>
    <w:rsid w:val="5BB4456C"/>
    <w:rsid w:val="7FA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2020-03-02T03:40:00Z</dcterms:created>
  <dc:creator>Intro</dc:creator>
  <cp:lastModifiedBy>Intro</cp:lastModifiedBy>
  <dcterms:modified xsi:type="dcterms:W3CDTF">2020-03-02T03:45:21Z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